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60" w:rsidRDefault="002A4360" w:rsidP="00D30D5F">
      <w:pPr>
        <w:pStyle w:val="NormalWeb"/>
        <w:jc w:val="center"/>
      </w:pPr>
      <w:bookmarkStart w:id="0" w:name="_GoBack"/>
      <w:bookmarkEnd w:id="0"/>
      <w:r>
        <w:rPr>
          <w:noProof/>
        </w:rPr>
        <w:drawing>
          <wp:inline distT="0" distB="0" distL="0" distR="0">
            <wp:extent cx="1090613" cy="586476"/>
            <wp:effectExtent l="0" t="0" r="0" b="4445"/>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21" cy="589384"/>
                    </a:xfrm>
                    <a:prstGeom prst="rect">
                      <a:avLst/>
                    </a:prstGeom>
                    <a:noFill/>
                    <a:ln>
                      <a:noFill/>
                    </a:ln>
                  </pic:spPr>
                </pic:pic>
              </a:graphicData>
            </a:graphic>
          </wp:inline>
        </w:drawing>
      </w:r>
      <w:r w:rsidR="00D30D5F">
        <w:t xml:space="preserve"> </w:t>
      </w:r>
      <w:r>
        <w:rPr>
          <w:noProof/>
        </w:rPr>
        <w:drawing>
          <wp:inline distT="0" distB="0" distL="0" distR="0">
            <wp:extent cx="1119187" cy="480205"/>
            <wp:effectExtent l="0" t="0" r="5080" b="0"/>
            <wp:docPr id="2" name="Image 2" descr="http://www.crhia.fr/images/logo_cr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rhia.fr/images/logo_crh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187" cy="480205"/>
                    </a:xfrm>
                    <a:prstGeom prst="rect">
                      <a:avLst/>
                    </a:prstGeom>
                    <a:noFill/>
                    <a:ln>
                      <a:noFill/>
                    </a:ln>
                  </pic:spPr>
                </pic:pic>
              </a:graphicData>
            </a:graphic>
          </wp:inline>
        </w:drawing>
      </w:r>
      <w:r w:rsidR="005218DB">
        <w:rPr>
          <w:noProof/>
        </w:rPr>
        <w:t xml:space="preserve">  </w:t>
      </w:r>
      <w:r>
        <w:rPr>
          <w:noProof/>
        </w:rPr>
        <w:drawing>
          <wp:inline distT="0" distB="0" distL="0" distR="0">
            <wp:extent cx="895350" cy="483778"/>
            <wp:effectExtent l="0" t="0" r="0" b="0"/>
            <wp:docPr id="1" name="Image 1" descr="Ecrire une Histoire Nouvelle de 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rire une Histoire Nouvelle de l’Eur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322" cy="484303"/>
                    </a:xfrm>
                    <a:prstGeom prst="rect">
                      <a:avLst/>
                    </a:prstGeom>
                    <a:noFill/>
                    <a:ln>
                      <a:noFill/>
                    </a:ln>
                  </pic:spPr>
                </pic:pic>
              </a:graphicData>
            </a:graphic>
          </wp:inline>
        </w:drawing>
      </w:r>
      <w:r w:rsidR="005218DB">
        <w:t xml:space="preserve">  </w:t>
      </w:r>
      <w:r w:rsidR="009D64CA">
        <w:rPr>
          <w:noProof/>
        </w:rPr>
        <w:drawing>
          <wp:inline distT="0" distB="0" distL="0" distR="0" wp14:anchorId="7FAF28A2" wp14:editId="7DB6B892">
            <wp:extent cx="957262" cy="302336"/>
            <wp:effectExtent l="0" t="0" r="0" b="2540"/>
            <wp:docPr id="4" name="Image 3" descr="logo_staraco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raco_noir.jpg"/>
                    <pic:cNvPicPr/>
                  </pic:nvPicPr>
                  <pic:blipFill>
                    <a:blip r:embed="rId11" cstate="print"/>
                    <a:stretch>
                      <a:fillRect/>
                    </a:stretch>
                  </pic:blipFill>
                  <pic:spPr>
                    <a:xfrm>
                      <a:off x="0" y="0"/>
                      <a:ext cx="957262" cy="302336"/>
                    </a:xfrm>
                    <a:prstGeom prst="rect">
                      <a:avLst/>
                    </a:prstGeom>
                  </pic:spPr>
                </pic:pic>
              </a:graphicData>
            </a:graphic>
          </wp:inline>
        </w:drawing>
      </w:r>
      <w:r w:rsidR="005218DB">
        <w:t xml:space="preserve"> </w:t>
      </w:r>
      <w:r w:rsidR="00650F00">
        <w:rPr>
          <w:noProof/>
        </w:rPr>
        <w:drawing>
          <wp:inline distT="0" distB="0" distL="0" distR="0" wp14:anchorId="41926044" wp14:editId="2783DD5B">
            <wp:extent cx="1228725" cy="349070"/>
            <wp:effectExtent l="0" t="0" r="0" b="0"/>
            <wp:docPr id="7" name="Image 7" descr="Fichier:Région Pays-de-la-Loire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chier:Région Pays-de-la-Loire (logo).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349070"/>
                    </a:xfrm>
                    <a:prstGeom prst="rect">
                      <a:avLst/>
                    </a:prstGeom>
                    <a:noFill/>
                    <a:ln>
                      <a:noFill/>
                    </a:ln>
                  </pic:spPr>
                </pic:pic>
              </a:graphicData>
            </a:graphic>
          </wp:inline>
        </w:drawing>
      </w:r>
    </w:p>
    <w:p w:rsidR="002A4360" w:rsidRDefault="002A4360" w:rsidP="00D30D5F">
      <w:pPr>
        <w:pStyle w:val="NormalWeb"/>
        <w:jc w:val="center"/>
      </w:pPr>
    </w:p>
    <w:p w:rsidR="00D30D5F" w:rsidRPr="005218DB" w:rsidRDefault="00D30D5F" w:rsidP="00D30D5F">
      <w:pPr>
        <w:pStyle w:val="NormalWeb"/>
        <w:jc w:val="center"/>
        <w:rPr>
          <w:rStyle w:val="lev"/>
          <w:sz w:val="32"/>
          <w:szCs w:val="32"/>
        </w:rPr>
      </w:pPr>
      <w:r w:rsidRPr="005218DB">
        <w:rPr>
          <w:rStyle w:val="lev"/>
          <w:sz w:val="32"/>
          <w:szCs w:val="32"/>
        </w:rPr>
        <w:t>Appel à communications</w:t>
      </w:r>
    </w:p>
    <w:p w:rsidR="00D30D5F" w:rsidRDefault="00D30D5F" w:rsidP="00D30D5F">
      <w:pPr>
        <w:pStyle w:val="NormalWeb"/>
        <w:jc w:val="center"/>
      </w:pPr>
      <w:r>
        <w:rPr>
          <w:rStyle w:val="lev"/>
        </w:rPr>
        <w:t xml:space="preserve">Colloque international  </w:t>
      </w:r>
    </w:p>
    <w:p w:rsidR="00D30D5F" w:rsidRPr="00D30D5F" w:rsidRDefault="00D30D5F" w:rsidP="00D30D5F">
      <w:pPr>
        <w:pStyle w:val="NormalWeb"/>
        <w:jc w:val="center"/>
        <w:rPr>
          <w:sz w:val="36"/>
          <w:szCs w:val="36"/>
        </w:rPr>
      </w:pPr>
      <w:r w:rsidRPr="00D30D5F">
        <w:rPr>
          <w:rStyle w:val="lev"/>
          <w:sz w:val="36"/>
          <w:szCs w:val="36"/>
        </w:rPr>
        <w:t>L’engagisme dans les colonies européennes,</w:t>
      </w:r>
    </w:p>
    <w:p w:rsidR="00D30D5F" w:rsidRPr="00D30D5F" w:rsidRDefault="00D30D5F" w:rsidP="00D30D5F">
      <w:pPr>
        <w:pStyle w:val="NormalWeb"/>
        <w:jc w:val="center"/>
        <w:rPr>
          <w:sz w:val="28"/>
          <w:szCs w:val="28"/>
        </w:rPr>
      </w:pPr>
      <w:r w:rsidRPr="00D30D5F">
        <w:rPr>
          <w:rStyle w:val="lev"/>
          <w:sz w:val="28"/>
          <w:szCs w:val="28"/>
        </w:rPr>
        <w:t>Résistances et mémoire(s), XIX</w:t>
      </w:r>
      <w:r w:rsidR="00A62C37" w:rsidRPr="00A62C37">
        <w:rPr>
          <w:vertAlign w:val="superscript"/>
        </w:rPr>
        <w:t>e</w:t>
      </w:r>
      <w:r w:rsidRPr="00D30D5F">
        <w:rPr>
          <w:rStyle w:val="lev"/>
          <w:sz w:val="28"/>
          <w:szCs w:val="28"/>
        </w:rPr>
        <w:t>-XXI</w:t>
      </w:r>
      <w:r w:rsidR="00A62C37" w:rsidRPr="00A62C37">
        <w:rPr>
          <w:vertAlign w:val="superscript"/>
        </w:rPr>
        <w:t>e</w:t>
      </w:r>
      <w:r w:rsidRPr="00D30D5F">
        <w:rPr>
          <w:rStyle w:val="lev"/>
          <w:sz w:val="28"/>
          <w:szCs w:val="28"/>
        </w:rPr>
        <w:t xml:space="preserve"> siècles</w:t>
      </w:r>
    </w:p>
    <w:p w:rsidR="00D30D5F" w:rsidRDefault="00D30D5F" w:rsidP="00D30D5F">
      <w:pPr>
        <w:pStyle w:val="NormalWeb"/>
        <w:jc w:val="center"/>
      </w:pPr>
      <w:r>
        <w:rPr>
          <w:rStyle w:val="lev"/>
        </w:rPr>
        <w:t>20 et 21 octobre 2016, Université de Nantes</w:t>
      </w:r>
    </w:p>
    <w:p w:rsidR="00D30D5F" w:rsidRDefault="00D30D5F" w:rsidP="005E50C8">
      <w:pPr>
        <w:pStyle w:val="NormalWeb"/>
        <w:jc w:val="both"/>
      </w:pPr>
      <w:r>
        <w:rPr>
          <w:rStyle w:val="Accentuation"/>
        </w:rPr>
        <w:t>Ce colloque international</w:t>
      </w:r>
      <w:r w:rsidR="00852A8D">
        <w:rPr>
          <w:rStyle w:val="Accentuation"/>
        </w:rPr>
        <w:t xml:space="preserve"> </w:t>
      </w:r>
      <w:r>
        <w:rPr>
          <w:rStyle w:val="Accentuation"/>
        </w:rPr>
        <w:t>s’inscrit dans le cadre des travaux d</w:t>
      </w:r>
      <w:r w:rsidR="005218DB">
        <w:rPr>
          <w:rStyle w:val="Accentuation"/>
        </w:rPr>
        <w:t>e l’axe 4 du</w:t>
      </w:r>
      <w:r>
        <w:rPr>
          <w:rStyle w:val="Accentuation"/>
        </w:rPr>
        <w:t xml:space="preserve"> Labex EHNE </w:t>
      </w:r>
      <w:r w:rsidR="00784EF9">
        <w:rPr>
          <w:rStyle w:val="Accentuation"/>
        </w:rPr>
        <w:t>(</w:t>
      </w:r>
      <w:r>
        <w:rPr>
          <w:rStyle w:val="Accentuation"/>
        </w:rPr>
        <w:t xml:space="preserve">Ecrire une </w:t>
      </w:r>
      <w:r w:rsidR="006A0184">
        <w:rPr>
          <w:rStyle w:val="Accentuation"/>
        </w:rPr>
        <w:t>H</w:t>
      </w:r>
      <w:r>
        <w:rPr>
          <w:rStyle w:val="Accentuation"/>
        </w:rPr>
        <w:t xml:space="preserve">istoire </w:t>
      </w:r>
      <w:r w:rsidR="006A0184">
        <w:rPr>
          <w:rStyle w:val="Accentuation"/>
        </w:rPr>
        <w:t>N</w:t>
      </w:r>
      <w:r>
        <w:rPr>
          <w:rStyle w:val="Accentuation"/>
        </w:rPr>
        <w:t>ouvelle</w:t>
      </w:r>
      <w:r w:rsidR="00182A03">
        <w:rPr>
          <w:rStyle w:val="Accentuation"/>
        </w:rPr>
        <w:t xml:space="preserve"> de </w:t>
      </w:r>
      <w:r w:rsidR="006A0184">
        <w:rPr>
          <w:rStyle w:val="Accentuation"/>
        </w:rPr>
        <w:t>l</w:t>
      </w:r>
      <w:r>
        <w:rPr>
          <w:rStyle w:val="Accentuation"/>
        </w:rPr>
        <w:t>’Europe</w:t>
      </w:r>
      <w:r w:rsidR="00784EF9">
        <w:rPr>
          <w:rStyle w:val="Accentuation"/>
        </w:rPr>
        <w:t>)</w:t>
      </w:r>
      <w:r>
        <w:rPr>
          <w:rStyle w:val="Accentuation"/>
        </w:rPr>
        <w:t xml:space="preserve"> et du projet STARACO </w:t>
      </w:r>
      <w:r w:rsidR="00784EF9">
        <w:rPr>
          <w:rStyle w:val="Accentuation"/>
        </w:rPr>
        <w:t>(</w:t>
      </w:r>
      <w:r>
        <w:rPr>
          <w:rStyle w:val="Accentuation"/>
        </w:rPr>
        <w:t>Statut</w:t>
      </w:r>
      <w:r w:rsidR="00784EF9">
        <w:rPr>
          <w:rStyle w:val="Accentuation"/>
        </w:rPr>
        <w:t>s</w:t>
      </w:r>
      <w:r>
        <w:rPr>
          <w:rStyle w:val="Accentuation"/>
        </w:rPr>
        <w:t xml:space="preserve"> </w:t>
      </w:r>
      <w:r w:rsidR="00784EF9">
        <w:rPr>
          <w:rStyle w:val="Accentuation"/>
        </w:rPr>
        <w:t>« </w:t>
      </w:r>
      <w:r>
        <w:rPr>
          <w:rStyle w:val="Accentuation"/>
        </w:rPr>
        <w:t>Race</w:t>
      </w:r>
      <w:r w:rsidR="00784EF9">
        <w:rPr>
          <w:rStyle w:val="Accentuation"/>
        </w:rPr>
        <w:t> » et</w:t>
      </w:r>
      <w:r>
        <w:rPr>
          <w:rStyle w:val="Accentuation"/>
        </w:rPr>
        <w:t xml:space="preserve"> Couleurs</w:t>
      </w:r>
      <w:r w:rsidR="00784EF9">
        <w:rPr>
          <w:rStyle w:val="Accentuation"/>
        </w:rPr>
        <w:t xml:space="preserve"> dans l’Atlantique de l’Antiquité à nos jours). </w:t>
      </w:r>
      <w:r>
        <w:rPr>
          <w:rStyle w:val="Accentuation"/>
        </w:rPr>
        <w:t xml:space="preserve">Il est organisé </w:t>
      </w:r>
      <w:r w:rsidR="00852A8D">
        <w:rPr>
          <w:rStyle w:val="Accentuation"/>
        </w:rPr>
        <w:t xml:space="preserve">par le CRHIA (Centre de </w:t>
      </w:r>
      <w:r w:rsidR="00CC6ED3">
        <w:rPr>
          <w:rStyle w:val="Accentuation"/>
        </w:rPr>
        <w:t>R</w:t>
      </w:r>
      <w:r w:rsidR="00852A8D">
        <w:rPr>
          <w:rStyle w:val="Accentuation"/>
        </w:rPr>
        <w:t xml:space="preserve">echerches en Histoire </w:t>
      </w:r>
      <w:r w:rsidR="00CC6ED3">
        <w:rPr>
          <w:rStyle w:val="Accentuation"/>
        </w:rPr>
        <w:t>I</w:t>
      </w:r>
      <w:r w:rsidR="00852A8D">
        <w:rPr>
          <w:rStyle w:val="Accentuation"/>
        </w:rPr>
        <w:t>nternationale et Atlantique) de l’Université de Nantes</w:t>
      </w:r>
      <w:r w:rsidR="005218DB">
        <w:rPr>
          <w:rStyle w:val="Accentuation"/>
        </w:rPr>
        <w:t>.</w:t>
      </w:r>
      <w:r w:rsidR="00852A8D">
        <w:rPr>
          <w:rStyle w:val="Accentuation"/>
        </w:rPr>
        <w:t xml:space="preserve"> </w:t>
      </w:r>
      <w:r w:rsidR="005218DB">
        <w:rPr>
          <w:rStyle w:val="Accentuation"/>
        </w:rPr>
        <w:t xml:space="preserve"> </w:t>
      </w:r>
    </w:p>
    <w:p w:rsidR="00D30D5F" w:rsidRDefault="00D30D5F" w:rsidP="005E50C8">
      <w:pPr>
        <w:pStyle w:val="NormalWeb"/>
        <w:jc w:val="both"/>
      </w:pPr>
    </w:p>
    <w:p w:rsidR="00D30D5F" w:rsidRDefault="00D30D5F" w:rsidP="005E50C8">
      <w:pPr>
        <w:pStyle w:val="NormalWeb"/>
        <w:ind w:firstLine="709"/>
        <w:jc w:val="both"/>
      </w:pPr>
      <w:r>
        <w:t>L’abolition progressive de la traite et de l’esclavage dans les colonies européennes est à l’origine de nouvelles migrations de travailleurs à travers le monde, notamment dans la seconde moitié du XIX</w:t>
      </w:r>
      <w:r w:rsidR="00A62C37" w:rsidRPr="00A62C37">
        <w:rPr>
          <w:vertAlign w:val="superscript"/>
        </w:rPr>
        <w:t>e</w:t>
      </w:r>
      <w:r>
        <w:t xml:space="preserve"> siècle. Pour satisfaire les besoins d</w:t>
      </w:r>
      <w:r w:rsidR="00182A03">
        <w:t xml:space="preserve">’une économie de plantation </w:t>
      </w:r>
      <w:r>
        <w:t xml:space="preserve">ou pour bâtir les principales infrastructures de leurs colonies, les Européens, principalement les Anglais, les Français, les Portugais, et les Néerlandais font appel à des travailleurs étrangers libres. C’est ce qu’on appelle le système de l’engagisme ou </w:t>
      </w:r>
      <w:r w:rsidRPr="00D30D5F">
        <w:rPr>
          <w:i/>
        </w:rPr>
        <w:t>indenture</w:t>
      </w:r>
      <w:r>
        <w:t xml:space="preserve"> (qui signifie « contrat ») ou encore </w:t>
      </w:r>
      <w:r w:rsidRPr="00D30D5F">
        <w:rPr>
          <w:i/>
        </w:rPr>
        <w:t>coolie trade</w:t>
      </w:r>
      <w:r>
        <w:t xml:space="preserve"> pour les engag</w:t>
      </w:r>
      <w:r w:rsidR="00182A03">
        <w:t xml:space="preserve">és d’origine asiatique (coolie </w:t>
      </w:r>
      <w:r>
        <w:t>venant du tamoul et signifiant salaire).</w:t>
      </w:r>
    </w:p>
    <w:p w:rsidR="00784EF9" w:rsidRDefault="00D30D5F" w:rsidP="00FB3861">
      <w:pPr>
        <w:pStyle w:val="NormalWeb"/>
        <w:ind w:firstLine="709"/>
        <w:jc w:val="both"/>
      </w:pPr>
      <w:r>
        <w:t>Ces nouveaux flux de main-d’œuvre engagée sont dictés par l’expansion coloniale de l’Europe mais également par des conditions socio-économiques difficiles dans les pays d’origine des engagés, lesquelles agissent comme de puissants facteurs de départ. Ainsi, des Javanais, des Japonais, des Tonkinois, des Africains, des Malgaches mais surtout des Chinois et des Indiens quittent leur sol natal pour venir travailler, en échange d’un salaire, dans les colonies d’Amérique et de l’océan Indien mais également dans les territoires nouvellement conquis par les puissances impériales en Afrique, en Asie et dans le Pacifique.</w:t>
      </w:r>
      <w:r w:rsidRPr="00D30D5F">
        <w:t xml:space="preserve"> </w:t>
      </w:r>
    </w:p>
    <w:p w:rsidR="00784EF9" w:rsidRDefault="00784EF9" w:rsidP="00FB3861">
      <w:pPr>
        <w:pStyle w:val="NormalWeb"/>
        <w:ind w:firstLine="709"/>
        <w:jc w:val="both"/>
      </w:pPr>
      <w:r w:rsidRPr="00D30D5F">
        <w:t>Un grand nombre de ces travailleurs ne seront finalement pas rapatriés dans leur pays d’origine comme le prévoyait leur contrat et s’implanteront dans la colonie ou dans des colonies voisines à la fin de leur engagement. C’est particulièrement vrai pour les engagés africains capturés qui ne possèdent plus d’attaches dans leurs pays d’origine et qui ne bénéficient de la protection d’aucune puissance.</w:t>
      </w:r>
    </w:p>
    <w:p w:rsidR="00C24AD2" w:rsidRDefault="00C24AD2" w:rsidP="00C24AD2">
      <w:pPr>
        <w:pStyle w:val="NormalWeb"/>
        <w:jc w:val="center"/>
      </w:pPr>
      <w:r>
        <w:t>++++</w:t>
      </w:r>
    </w:p>
    <w:p w:rsidR="005E50C8" w:rsidRDefault="00D30D5F" w:rsidP="00784EF9">
      <w:pPr>
        <w:pStyle w:val="NormalWeb"/>
        <w:ind w:firstLine="709"/>
        <w:jc w:val="both"/>
      </w:pPr>
      <w:r>
        <w:lastRenderedPageBreak/>
        <w:t>Si dan</w:t>
      </w:r>
      <w:r w:rsidR="00784EF9">
        <w:t>s</w:t>
      </w:r>
      <w:r>
        <w:t xml:space="preserve"> </w:t>
      </w:r>
      <w:r w:rsidR="00784EF9">
        <w:t>c</w:t>
      </w:r>
      <w:r>
        <w:t>ertains cas, l’engag</w:t>
      </w:r>
      <w:r w:rsidR="00784EF9">
        <w:t>ement</w:t>
      </w:r>
      <w:r>
        <w:t xml:space="preserve"> </w:t>
      </w:r>
      <w:r w:rsidR="00784EF9">
        <w:t>permet d’échapper à une existence difficile et de construire</w:t>
      </w:r>
      <w:r w:rsidR="00182A03">
        <w:t xml:space="preserve"> un avenir meilleur ailleurs, </w:t>
      </w:r>
      <w:r w:rsidR="00784EF9">
        <w:t xml:space="preserve">beaucoup d’immigrants </w:t>
      </w:r>
      <w:r>
        <w:t>ne trouveront pas dans cette aventure ce qu’ils étaient venus chercher</w:t>
      </w:r>
      <w:r w:rsidR="00784EF9">
        <w:t>.</w:t>
      </w:r>
      <w:r>
        <w:t xml:space="preserve"> </w:t>
      </w:r>
      <w:r w:rsidR="00784EF9">
        <w:t>Certains entreront en conflit ouvert avec les autorités européennes, et ce</w:t>
      </w:r>
      <w:r w:rsidR="00BD585D">
        <w:t>,</w:t>
      </w:r>
      <w:r w:rsidR="00784EF9">
        <w:t xml:space="preserve"> dès la phase </w:t>
      </w:r>
      <w:r w:rsidR="00182A03">
        <w:t>du recrutement et de la traversée</w:t>
      </w:r>
      <w:r w:rsidR="00784EF9">
        <w:t>. Les rébellions qui éclatent à bord des navires transportant des engagés, notamment entre l’Afrique et l’</w:t>
      </w:r>
      <w:r w:rsidR="00182A03">
        <w:t>o</w:t>
      </w:r>
      <w:r w:rsidR="00784EF9">
        <w:t>céan Indien sont violentes et reflètent le caractère coercitif de l’engagement. De même, la situation des engagés dans les colonies d’accueil n’est pas toujours enviable. Déracinés, mal considérés, parfois mal traités, c</w:t>
      </w:r>
      <w:r>
        <w:t xml:space="preserve">ertains </w:t>
      </w:r>
      <w:r w:rsidR="00784EF9">
        <w:t>d’entre</w:t>
      </w:r>
      <w:r w:rsidR="00182A03">
        <w:t xml:space="preserve"> eux</w:t>
      </w:r>
      <w:r w:rsidR="00784EF9">
        <w:t xml:space="preserve"> refuseront les contraintes imposées par leur statut et tenteront </w:t>
      </w:r>
      <w:r w:rsidR="00AC6299">
        <w:t xml:space="preserve">- </w:t>
      </w:r>
      <w:r w:rsidR="00784EF9">
        <w:t>par la violence, la fuite ou même le suicide</w:t>
      </w:r>
      <w:r w:rsidR="00AC6299">
        <w:t xml:space="preserve"> - </w:t>
      </w:r>
      <w:r w:rsidR="00784EF9">
        <w:t xml:space="preserve">de s’affranchir d’un système souvent trop proche de l’esclavage. D’autres </w:t>
      </w:r>
      <w:r>
        <w:t xml:space="preserve">se battront contre le système colonial et le modèle </w:t>
      </w:r>
      <w:r w:rsidR="00784EF9">
        <w:t xml:space="preserve">européen </w:t>
      </w:r>
      <w:r>
        <w:t xml:space="preserve">pré-établi </w:t>
      </w:r>
      <w:r w:rsidR="00784EF9">
        <w:t>en tentant de</w:t>
      </w:r>
      <w:r>
        <w:t xml:space="preserve"> maintenir leurs croyances, leur langue, leur culture ainsi qu’une </w:t>
      </w:r>
      <w:r w:rsidRPr="00F604FC">
        <w:t>forme de communautarisme</w:t>
      </w:r>
      <w:r w:rsidR="00F604FC">
        <w:t>.</w:t>
      </w:r>
      <w:r w:rsidR="00B45F82">
        <w:t xml:space="preserve"> </w:t>
      </w:r>
    </w:p>
    <w:p w:rsidR="00D30D5F" w:rsidRDefault="001776E7" w:rsidP="004E0245">
      <w:pPr>
        <w:pStyle w:val="NormalWeb"/>
        <w:ind w:firstLine="709"/>
        <w:jc w:val="both"/>
      </w:pPr>
      <w:r>
        <w:t>En comparaison</w:t>
      </w:r>
      <w:r w:rsidR="00F604FC">
        <w:t xml:space="preserve"> </w:t>
      </w:r>
      <w:r w:rsidR="00CB7B27">
        <w:t>à l’</w:t>
      </w:r>
      <w:r w:rsidR="00F604FC">
        <w:t>historiographie importante consacrée à la traite ou à l’esclavage, l’histoire de l’engagisme,</w:t>
      </w:r>
      <w:r w:rsidR="005E50C8">
        <w:t xml:space="preserve"> phénomène migratoire</w:t>
      </w:r>
      <w:r w:rsidR="00111572">
        <w:t xml:space="preserve"> </w:t>
      </w:r>
      <w:r w:rsidR="005E50C8">
        <w:t>de grande ampleur</w:t>
      </w:r>
      <w:r w:rsidR="00F604FC">
        <w:t>,</w:t>
      </w:r>
      <w:r w:rsidR="005E50C8">
        <w:t xml:space="preserve"> reste très peu étudié dans son ensemble</w:t>
      </w:r>
      <w:r w:rsidR="00F604FC">
        <w:t xml:space="preserve">. </w:t>
      </w:r>
      <w:r w:rsidR="005E50C8">
        <w:t>Pourtant son importance est capitale au regard de l’histoire coloniale europé</w:t>
      </w:r>
      <w:r w:rsidR="00F604FC">
        <w:t>e</w:t>
      </w:r>
      <w:r w:rsidR="005E50C8">
        <w:t xml:space="preserve">nne et de la construction </w:t>
      </w:r>
      <w:r w:rsidR="00AC6299">
        <w:t xml:space="preserve"> </w:t>
      </w:r>
      <w:r w:rsidR="005E50C8">
        <w:t>identitaire des anciens ter</w:t>
      </w:r>
      <w:r w:rsidR="00F604FC">
        <w:t>r</w:t>
      </w:r>
      <w:r w:rsidR="005E50C8">
        <w:t>itoires coloniaux, de l’Europe</w:t>
      </w:r>
      <w:r w:rsidR="00F604FC">
        <w:t xml:space="preserve"> </w:t>
      </w:r>
      <w:r w:rsidR="005E50C8">
        <w:t xml:space="preserve">ultra-marine et </w:t>
      </w:r>
      <w:r w:rsidR="004E0245">
        <w:t xml:space="preserve">même </w:t>
      </w:r>
      <w:r w:rsidR="005E50C8">
        <w:t xml:space="preserve">de l’Europe </w:t>
      </w:r>
      <w:r w:rsidR="00F604FC">
        <w:t>« </w:t>
      </w:r>
      <w:r w:rsidR="005E50C8">
        <w:t>en soi</w:t>
      </w:r>
      <w:r w:rsidR="00F604FC">
        <w:t> »</w:t>
      </w:r>
      <w:r w:rsidR="005E50C8">
        <w:t xml:space="preserve">. </w:t>
      </w:r>
      <w:r w:rsidR="00DB1467">
        <w:t xml:space="preserve">Des </w:t>
      </w:r>
      <w:r w:rsidR="00F604FC">
        <w:t xml:space="preserve"> travaux récents et la tenue à Bordeaux en mai 2015 d’un colloque international organisé par Céline Flory (CNRS</w:t>
      </w:r>
      <w:r w:rsidR="009D64CA">
        <w:t xml:space="preserve"> </w:t>
      </w:r>
      <w:r w:rsidR="00F604FC">
        <w:t>/</w:t>
      </w:r>
      <w:r w:rsidR="009D64CA">
        <w:t xml:space="preserve"> </w:t>
      </w:r>
      <w:r w:rsidR="00F604FC">
        <w:t>CIRESC) dans le cadre des 5</w:t>
      </w:r>
      <w:r w:rsidR="00F604FC" w:rsidRPr="00D30D5F">
        <w:rPr>
          <w:vertAlign w:val="superscript"/>
        </w:rPr>
        <w:t>e</w:t>
      </w:r>
      <w:r w:rsidR="00F604FC">
        <w:t xml:space="preserve"> rencontres Atlantiques ont </w:t>
      </w:r>
      <w:r w:rsidR="00DB1467">
        <w:t xml:space="preserve">cependant </w:t>
      </w:r>
      <w:r w:rsidR="00F604FC">
        <w:t xml:space="preserve">permis de faire un point historiographique et de </w:t>
      </w:r>
      <w:r w:rsidR="004E0245">
        <w:t>proposer</w:t>
      </w:r>
      <w:r w:rsidR="00F604FC">
        <w:t xml:space="preserve"> une dimension plus globale du phénomène en croisant les réflexions comparatives et en sortant d’un cloisonnement de travaux centrés sur un groupe de migrants spécifiques ou sur la colonie d’arrivée.</w:t>
      </w:r>
      <w:r w:rsidR="000F7BF2" w:rsidRPr="000F7BF2">
        <w:t xml:space="preserve"> </w:t>
      </w:r>
      <w:r w:rsidR="00DB1467">
        <w:t xml:space="preserve">Dans la continuité de ces nouvelles approches, </w:t>
      </w:r>
      <w:r w:rsidR="00111572">
        <w:t xml:space="preserve">ce colloque propose d’aborder le phénomène à travers la question des résistances et de leurs impacts sur les rapports entre </w:t>
      </w:r>
      <w:r w:rsidR="004E0245">
        <w:t xml:space="preserve">colons </w:t>
      </w:r>
      <w:r w:rsidR="00111572">
        <w:t>européens et engagés étrangers, sur le sy</w:t>
      </w:r>
      <w:r w:rsidR="00182A03">
        <w:t xml:space="preserve">stème de l’engagisme lui-même, </w:t>
      </w:r>
      <w:r w:rsidR="00111572">
        <w:t xml:space="preserve">et plus largement sur la construction identitaire des sociétés coloniales et </w:t>
      </w:r>
      <w:r w:rsidR="00AC6299">
        <w:t>postcoloniales</w:t>
      </w:r>
      <w:r w:rsidR="00182A03">
        <w:t xml:space="preserve">. </w:t>
      </w:r>
      <w:r w:rsidR="00DB1467">
        <w:t>S’intéresser aux résistances, c’est revisiter la question de la liberté de l’engagement</w:t>
      </w:r>
      <w:r w:rsidR="00C24AD2">
        <w:t>,</w:t>
      </w:r>
      <w:r w:rsidR="00DB1467">
        <w:t xml:space="preserve"> du caractère coercitif du système</w:t>
      </w:r>
      <w:r w:rsidR="004E0245">
        <w:t xml:space="preserve"> </w:t>
      </w:r>
      <w:r w:rsidR="00C24AD2">
        <w:t>et de la question identitaire</w:t>
      </w:r>
      <w:r w:rsidR="00DB1467">
        <w:t>.</w:t>
      </w:r>
      <w:r w:rsidR="00C24AD2">
        <w:t xml:space="preserve"> </w:t>
      </w:r>
      <w:r w:rsidR="00DB1467">
        <w:t xml:space="preserve">C’est également faire entrer l’histoire de l’engagisme dans </w:t>
      </w:r>
      <w:r w:rsidR="00C24AD2">
        <w:t>le champ</w:t>
      </w:r>
      <w:r w:rsidR="00DB1467">
        <w:t xml:space="preserve"> de la recherche sur les formes de résistances</w:t>
      </w:r>
      <w:r w:rsidR="00111572">
        <w:t xml:space="preserve"> </w:t>
      </w:r>
      <w:r w:rsidR="00C24AD2">
        <w:t>en proposant une</w:t>
      </w:r>
      <w:r w:rsidR="004E0245">
        <w:t xml:space="preserve"> </w:t>
      </w:r>
      <w:r w:rsidR="00C24AD2">
        <w:t xml:space="preserve">typologie de celles-ci. </w:t>
      </w:r>
      <w:r w:rsidR="00DB1467">
        <w:t>De plus, ce colloque enten</w:t>
      </w:r>
      <w:r w:rsidR="00C24AD2">
        <w:t>d</w:t>
      </w:r>
      <w:r w:rsidR="00DB1467">
        <w:t xml:space="preserve"> </w:t>
      </w:r>
      <w:r w:rsidR="00C24AD2">
        <w:t>également</w:t>
      </w:r>
      <w:r w:rsidR="00DB1467">
        <w:t xml:space="preserve"> ouvrir un deuxième champ de recherches très développé </w:t>
      </w:r>
      <w:r w:rsidR="00C24AD2">
        <w:t>pour</w:t>
      </w:r>
      <w:r w:rsidR="00DB1467">
        <w:t xml:space="preserve"> les question</w:t>
      </w:r>
      <w:r w:rsidR="000F7BF2">
        <w:t>s</w:t>
      </w:r>
      <w:r w:rsidR="00DB1467">
        <w:t xml:space="preserve"> de la traite et de l’</w:t>
      </w:r>
      <w:r w:rsidR="00C24AD2">
        <w:t>esclavage</w:t>
      </w:r>
      <w:r w:rsidR="00DB1467">
        <w:t xml:space="preserve"> mais </w:t>
      </w:r>
      <w:r w:rsidR="004E0245">
        <w:t xml:space="preserve">quasiment </w:t>
      </w:r>
      <w:r w:rsidR="00DB1467">
        <w:t>absent de l’historiographie consacrée à l’engagisme</w:t>
      </w:r>
      <w:r w:rsidR="00C24AD2">
        <w:t> : l</w:t>
      </w:r>
      <w:r w:rsidR="00DB1467">
        <w:t>a question de la (des) mémoire(s). Pendant longtemps, l’engagisme n’</w:t>
      </w:r>
      <w:r w:rsidR="00111572">
        <w:t>a</w:t>
      </w:r>
      <w:r w:rsidR="00DB1467">
        <w:t xml:space="preserve"> fait que prolonger les affres de la traite et de l’esclavage, tout au moins dans la mémoire populaire</w:t>
      </w:r>
      <w:r w:rsidR="00C24AD2">
        <w:t>.</w:t>
      </w:r>
      <w:r w:rsidR="00DB1467">
        <w:t xml:space="preserve"> </w:t>
      </w:r>
      <w:r w:rsidR="004E0245">
        <w:t xml:space="preserve">Il existe d’ailleurs une forme de confusion voire même d’assimilation entre les deux phénomènes. De plus, les </w:t>
      </w:r>
      <w:r w:rsidR="00111572">
        <w:t xml:space="preserve">cloisonnements sociaux hérités de ce phénomène migratoire </w:t>
      </w:r>
      <w:r w:rsidR="004E0245">
        <w:t xml:space="preserve">persistent actuellement dans les sociétés </w:t>
      </w:r>
      <w:r w:rsidR="00FD4E9D">
        <w:t>postcoloniales</w:t>
      </w:r>
      <w:r w:rsidR="004E0245">
        <w:t>, notamment celles de l’Europe ultra-marine</w:t>
      </w:r>
      <w:r w:rsidR="00AC6299">
        <w:t>. Les</w:t>
      </w:r>
      <w:r w:rsidR="00111572">
        <w:t xml:space="preserve"> questionnements</w:t>
      </w:r>
      <w:r w:rsidR="004E0245">
        <w:t xml:space="preserve"> et revendications </w:t>
      </w:r>
      <w:r w:rsidR="00D30D5F">
        <w:t>identitaires</w:t>
      </w:r>
      <w:r w:rsidR="00111572">
        <w:t xml:space="preserve"> sont nombreux</w:t>
      </w:r>
      <w:r w:rsidR="004E0245">
        <w:t xml:space="preserve"> parmi les descendants</w:t>
      </w:r>
      <w:r w:rsidR="00AC6299">
        <w:t xml:space="preserve"> des engagés</w:t>
      </w:r>
      <w:r w:rsidR="004E0245">
        <w:t>.</w:t>
      </w:r>
      <w:r w:rsidR="00D30D5F">
        <w:t xml:space="preserve"> Revisit</w:t>
      </w:r>
      <w:r w:rsidR="004E0245">
        <w:t>ée</w:t>
      </w:r>
      <w:r w:rsidR="00D30D5F">
        <w:t>, déconstruite, « </w:t>
      </w:r>
      <w:r w:rsidR="00AC6299">
        <w:t>survalorisée</w:t>
      </w:r>
      <w:r w:rsidR="00D30D5F">
        <w:t> »</w:t>
      </w:r>
      <w:r w:rsidR="00C24AD2">
        <w:t>,</w:t>
      </w:r>
      <w:r w:rsidR="00D30D5F">
        <w:t xml:space="preserve"> </w:t>
      </w:r>
      <w:r w:rsidR="00C24AD2">
        <w:t>réinvent</w:t>
      </w:r>
      <w:r w:rsidR="004E0245">
        <w:t>ée,</w:t>
      </w:r>
      <w:r w:rsidR="00D30D5F">
        <w:t xml:space="preserve"> </w:t>
      </w:r>
      <w:r w:rsidR="004E0245">
        <w:t>la mémoire de</w:t>
      </w:r>
      <w:r w:rsidR="00D30D5F">
        <w:t xml:space="preserve"> l’engagisme est aujourd’hui un instrument politique et sociétal</w:t>
      </w:r>
      <w:r w:rsidR="00452B1F">
        <w:t xml:space="preserve"> </w:t>
      </w:r>
      <w:r w:rsidR="00C24AD2">
        <w:t xml:space="preserve">très </w:t>
      </w:r>
      <w:r w:rsidR="004E0245">
        <w:t>prégnant</w:t>
      </w:r>
      <w:r w:rsidR="00C24AD2">
        <w:t xml:space="preserve"> et mérite que l’</w:t>
      </w:r>
      <w:r w:rsidR="004E0245">
        <w:t>historien</w:t>
      </w:r>
      <w:r w:rsidR="00C24AD2">
        <w:t xml:space="preserve"> </w:t>
      </w:r>
      <w:r w:rsidR="00111572">
        <w:t>s</w:t>
      </w:r>
      <w:r w:rsidR="00C24AD2">
        <w:t xml:space="preserve">’y intéresse. </w:t>
      </w:r>
      <w:r w:rsidR="005E50C8">
        <w:t>Il s’agira en outre de recenser les lieux historiques de l’engagisme, d</w:t>
      </w:r>
      <w:r w:rsidR="00111572">
        <w:t>ans</w:t>
      </w:r>
      <w:r w:rsidR="005E50C8">
        <w:t xml:space="preserve"> les territoires postcoloniaux, </w:t>
      </w:r>
      <w:r w:rsidR="004E0245">
        <w:t>dans les pays d’origine des engagés en Afrique et en Asie mais également en</w:t>
      </w:r>
      <w:r w:rsidR="005E50C8">
        <w:t xml:space="preserve"> Europe ultra-marine </w:t>
      </w:r>
      <w:r w:rsidR="004E0245">
        <w:t xml:space="preserve">et </w:t>
      </w:r>
      <w:r w:rsidR="005E50C8">
        <w:t xml:space="preserve">de s’intéresser à </w:t>
      </w:r>
      <w:r w:rsidR="00CB7B27">
        <w:t>la mise en valeur de ce patrimoine.</w:t>
      </w:r>
      <w:r w:rsidR="00FC69E9">
        <w:t xml:space="preserve"> </w:t>
      </w:r>
      <w:r w:rsidR="002F5D9D">
        <w:t>Ce processus de patrimonialisation représente un enjeu mémoriel majeur.</w:t>
      </w:r>
    </w:p>
    <w:p w:rsidR="00D30D5F" w:rsidRDefault="00C24AD2" w:rsidP="00FB3861">
      <w:pPr>
        <w:pStyle w:val="NormalWeb"/>
        <w:ind w:firstLine="709"/>
        <w:jc w:val="center"/>
      </w:pPr>
      <w:r>
        <w:t>+++</w:t>
      </w:r>
    </w:p>
    <w:p w:rsidR="00C24AD2" w:rsidRDefault="00D30D5F" w:rsidP="00AC6299">
      <w:pPr>
        <w:pStyle w:val="NormalWeb"/>
        <w:ind w:firstLine="709"/>
        <w:jc w:val="both"/>
      </w:pPr>
      <w:r w:rsidRPr="00C24AD2">
        <w:t xml:space="preserve">Le comité encourage en particulier les propositions de communication qui favorisent </w:t>
      </w:r>
      <w:r w:rsidR="00AC6299">
        <w:t xml:space="preserve">une analyse sur un temps long en privilégiant la dimension comparative. Les sujets abordés </w:t>
      </w:r>
      <w:r>
        <w:t xml:space="preserve">pourront </w:t>
      </w:r>
      <w:r w:rsidR="00AC6299">
        <w:t>s’intégrer entre autres dans un des grands thèmes suivants :</w:t>
      </w:r>
    </w:p>
    <w:p w:rsidR="00D30D5F" w:rsidRDefault="00C24AD2" w:rsidP="00C24AD2">
      <w:pPr>
        <w:pStyle w:val="NormalWeb"/>
        <w:numPr>
          <w:ilvl w:val="0"/>
          <w:numId w:val="2"/>
        </w:numPr>
        <w:spacing w:before="0" w:beforeAutospacing="0" w:after="0" w:afterAutospacing="0"/>
      </w:pPr>
      <w:r>
        <w:t>L</w:t>
      </w:r>
      <w:r w:rsidR="00D30D5F">
        <w:t>es conditions d</w:t>
      </w:r>
      <w:r w:rsidR="00AC6299">
        <w:t>u</w:t>
      </w:r>
      <w:r w:rsidR="00D30D5F">
        <w:t xml:space="preserve"> recrutement</w:t>
      </w:r>
      <w:r w:rsidR="00111572">
        <w:t xml:space="preserve"> et de l’enrôlement dans le pays d’origine</w:t>
      </w:r>
    </w:p>
    <w:p w:rsidR="00111572" w:rsidRDefault="00111572" w:rsidP="00C24AD2">
      <w:pPr>
        <w:pStyle w:val="NormalWeb"/>
        <w:numPr>
          <w:ilvl w:val="0"/>
          <w:numId w:val="2"/>
        </w:numPr>
        <w:spacing w:before="0" w:beforeAutospacing="0" w:after="0" w:afterAutospacing="0"/>
      </w:pPr>
      <w:r>
        <w:t>Révoltes et rébellions à bord des navires</w:t>
      </w:r>
    </w:p>
    <w:p w:rsidR="00D30D5F" w:rsidRDefault="00D30D5F" w:rsidP="00C24AD2">
      <w:pPr>
        <w:pStyle w:val="NormalWeb"/>
        <w:numPr>
          <w:ilvl w:val="0"/>
          <w:numId w:val="2"/>
        </w:numPr>
        <w:spacing w:before="0" w:beforeAutospacing="0" w:after="0" w:afterAutospacing="0"/>
      </w:pPr>
      <w:r>
        <w:t xml:space="preserve">Les stratégies et les différentes formes de résistances dans la colonie d’accueil </w:t>
      </w:r>
    </w:p>
    <w:p w:rsidR="00D30D5F" w:rsidRDefault="00D30D5F" w:rsidP="00C24AD2">
      <w:pPr>
        <w:pStyle w:val="NormalWeb"/>
        <w:numPr>
          <w:ilvl w:val="0"/>
          <w:numId w:val="2"/>
        </w:numPr>
        <w:spacing w:before="0" w:beforeAutospacing="0" w:after="0" w:afterAutospacing="0"/>
      </w:pPr>
      <w:r>
        <w:t>Typologie des résistances</w:t>
      </w:r>
    </w:p>
    <w:p w:rsidR="006A0184" w:rsidRDefault="006A0184" w:rsidP="00C24AD2">
      <w:pPr>
        <w:pStyle w:val="NormalWeb"/>
        <w:numPr>
          <w:ilvl w:val="0"/>
          <w:numId w:val="2"/>
        </w:numPr>
        <w:spacing w:before="0" w:beforeAutospacing="0" w:after="0" w:afterAutospacing="0"/>
      </w:pPr>
      <w:r>
        <w:t>Maltraitance</w:t>
      </w:r>
      <w:r w:rsidR="005B5F39">
        <w:t>s</w:t>
      </w:r>
      <w:r>
        <w:t xml:space="preserve"> et résistances</w:t>
      </w:r>
    </w:p>
    <w:p w:rsidR="00AC6299" w:rsidRDefault="00840771" w:rsidP="00C24AD2">
      <w:pPr>
        <w:pStyle w:val="NormalWeb"/>
        <w:numPr>
          <w:ilvl w:val="0"/>
          <w:numId w:val="2"/>
        </w:numPr>
        <w:spacing w:before="0" w:beforeAutospacing="0" w:after="0" w:afterAutospacing="0"/>
      </w:pPr>
      <w:r>
        <w:t>Les figures de la résistance</w:t>
      </w:r>
    </w:p>
    <w:p w:rsidR="00840771" w:rsidRDefault="00AC6299" w:rsidP="00C24AD2">
      <w:pPr>
        <w:pStyle w:val="NormalWeb"/>
        <w:numPr>
          <w:ilvl w:val="0"/>
          <w:numId w:val="2"/>
        </w:numPr>
        <w:spacing w:before="0" w:beforeAutospacing="0" w:after="0" w:afterAutospacing="0"/>
      </w:pPr>
      <w:r>
        <w:t>Résistances et protection étrangère</w:t>
      </w:r>
    </w:p>
    <w:p w:rsidR="00AC6299" w:rsidRDefault="00AC6299" w:rsidP="00C24AD2">
      <w:pPr>
        <w:pStyle w:val="NormalWeb"/>
        <w:numPr>
          <w:ilvl w:val="0"/>
          <w:numId w:val="2"/>
        </w:numPr>
        <w:spacing w:before="0" w:beforeAutospacing="0" w:after="0" w:afterAutospacing="0"/>
      </w:pPr>
      <w:r>
        <w:t>Engagés et pouvoir colonial</w:t>
      </w:r>
      <w:r w:rsidR="00A62C37">
        <w:t xml:space="preserve"> </w:t>
      </w:r>
      <w:r>
        <w:t>/ Engagés et société coloniale</w:t>
      </w:r>
    </w:p>
    <w:p w:rsidR="00D30D5F" w:rsidRDefault="00111572" w:rsidP="00111572">
      <w:pPr>
        <w:pStyle w:val="NormalWeb"/>
        <w:numPr>
          <w:ilvl w:val="0"/>
          <w:numId w:val="2"/>
        </w:numPr>
        <w:spacing w:before="0" w:beforeAutospacing="0" w:after="0" w:afterAutospacing="0"/>
      </w:pPr>
      <w:r>
        <w:t xml:space="preserve">Identité, culture, religion et </w:t>
      </w:r>
      <w:r w:rsidR="006A0184">
        <w:t>repli communautaire</w:t>
      </w:r>
    </w:p>
    <w:p w:rsidR="00D30D5F" w:rsidRDefault="00D30D5F" w:rsidP="00C24AD2">
      <w:pPr>
        <w:pStyle w:val="NormalWeb"/>
        <w:numPr>
          <w:ilvl w:val="0"/>
          <w:numId w:val="2"/>
        </w:numPr>
        <w:spacing w:before="0" w:beforeAutospacing="0" w:after="0" w:afterAutospacing="0"/>
      </w:pPr>
      <w:r>
        <w:t>Les processus de transmission dans les familles de descendants d’engagés</w:t>
      </w:r>
    </w:p>
    <w:p w:rsidR="00D30D5F" w:rsidRDefault="00D30D5F" w:rsidP="00C24AD2">
      <w:pPr>
        <w:pStyle w:val="NormalWeb"/>
        <w:numPr>
          <w:ilvl w:val="0"/>
          <w:numId w:val="2"/>
        </w:numPr>
        <w:spacing w:before="0" w:beforeAutospacing="0" w:after="0" w:afterAutospacing="0"/>
      </w:pPr>
      <w:r>
        <w:t>Les processus de reconstruction, d’oubli, de « survalorisation », de négation</w:t>
      </w:r>
    </w:p>
    <w:p w:rsidR="00D30D5F" w:rsidRDefault="00D30D5F" w:rsidP="00C24AD2">
      <w:pPr>
        <w:pStyle w:val="NormalWeb"/>
        <w:numPr>
          <w:ilvl w:val="0"/>
          <w:numId w:val="2"/>
        </w:numPr>
        <w:spacing w:before="0" w:beforeAutospacing="0" w:after="0" w:afterAutospacing="0"/>
      </w:pPr>
      <w:r>
        <w:t>Les commémorations</w:t>
      </w:r>
    </w:p>
    <w:p w:rsidR="00AC6299" w:rsidRDefault="00D30D5F" w:rsidP="00AC6299">
      <w:pPr>
        <w:pStyle w:val="NormalWeb"/>
        <w:numPr>
          <w:ilvl w:val="0"/>
          <w:numId w:val="2"/>
        </w:numPr>
        <w:spacing w:before="0" w:beforeAutospacing="0" w:after="0" w:afterAutospacing="0"/>
      </w:pPr>
      <w:r>
        <w:t>Les revendications identitaires et communautaires</w:t>
      </w:r>
    </w:p>
    <w:p w:rsidR="006A0184" w:rsidRDefault="00AC6299" w:rsidP="00AC6299">
      <w:pPr>
        <w:pStyle w:val="NormalWeb"/>
        <w:numPr>
          <w:ilvl w:val="0"/>
          <w:numId w:val="2"/>
        </w:numPr>
        <w:spacing w:before="0" w:beforeAutospacing="0" w:after="0" w:afterAutospacing="0"/>
      </w:pPr>
      <w:r>
        <w:t>Les communautarismes et les cloisonnements sociaux qui peuvent résulter de ces phénomènes migratoires</w:t>
      </w:r>
    </w:p>
    <w:p w:rsidR="005525DB" w:rsidRDefault="005525DB" w:rsidP="00C24AD2">
      <w:pPr>
        <w:pStyle w:val="NormalWeb"/>
        <w:numPr>
          <w:ilvl w:val="0"/>
          <w:numId w:val="2"/>
        </w:numPr>
        <w:spacing w:before="0" w:beforeAutospacing="0" w:after="0" w:afterAutospacing="0"/>
      </w:pPr>
      <w:r>
        <w:t>La mémoire comme rapport de force entre groupes sociaux</w:t>
      </w:r>
      <w:r w:rsidR="00AC6299">
        <w:t xml:space="preserve"> issus de l’engagisme</w:t>
      </w:r>
    </w:p>
    <w:p w:rsidR="005525DB" w:rsidRDefault="00AC6299" w:rsidP="00AC6299">
      <w:pPr>
        <w:pStyle w:val="NormalWeb"/>
        <w:numPr>
          <w:ilvl w:val="0"/>
          <w:numId w:val="2"/>
        </w:numPr>
        <w:spacing w:before="0" w:beforeAutospacing="0" w:after="0" w:afterAutospacing="0"/>
      </w:pPr>
      <w:r>
        <w:t>Rôle</w:t>
      </w:r>
      <w:r w:rsidR="005525DB">
        <w:t xml:space="preserve"> des politiques et des états européens dans </w:t>
      </w:r>
      <w:r>
        <w:t>l’histoire et la construction de la mémoire de ce phénomène migratoire</w:t>
      </w:r>
    </w:p>
    <w:p w:rsidR="00D30D5F" w:rsidRDefault="00D30D5F" w:rsidP="00C24AD2">
      <w:pPr>
        <w:pStyle w:val="NormalWeb"/>
        <w:numPr>
          <w:ilvl w:val="0"/>
          <w:numId w:val="2"/>
        </w:numPr>
        <w:spacing w:before="0" w:beforeAutospacing="0" w:after="0" w:afterAutospacing="0"/>
      </w:pPr>
      <w:r>
        <w:t xml:space="preserve">Les lieux de mémoire </w:t>
      </w:r>
      <w:r w:rsidR="00067E6B">
        <w:t>/ réhabilitation et valorisation du patrimoine.</w:t>
      </w:r>
    </w:p>
    <w:p w:rsidR="00D30D5F" w:rsidRDefault="00D30D5F" w:rsidP="00C24AD2">
      <w:pPr>
        <w:pStyle w:val="NormalWeb"/>
        <w:spacing w:before="0" w:beforeAutospacing="0" w:after="0" w:afterAutospacing="0"/>
        <w:ind w:firstLine="60"/>
      </w:pPr>
    </w:p>
    <w:p w:rsidR="002A4360" w:rsidRDefault="002A4360" w:rsidP="002A4360">
      <w:pPr>
        <w:pStyle w:val="NormalWeb"/>
        <w:spacing w:before="0" w:beforeAutospacing="0" w:after="0" w:afterAutospacing="0"/>
        <w:rPr>
          <w:rStyle w:val="lev"/>
        </w:rPr>
      </w:pPr>
      <w:r>
        <w:rPr>
          <w:rStyle w:val="lev"/>
        </w:rPr>
        <w:t>-</w:t>
      </w:r>
      <w:r w:rsidR="00A62C37">
        <w:rPr>
          <w:rStyle w:val="lev"/>
        </w:rPr>
        <w:t xml:space="preserve"> </w:t>
      </w:r>
      <w:r w:rsidR="00D30D5F">
        <w:rPr>
          <w:rStyle w:val="lev"/>
        </w:rPr>
        <w:t>Modalités de soumission</w:t>
      </w:r>
    </w:p>
    <w:p w:rsidR="00D30D5F" w:rsidRPr="002A4360" w:rsidRDefault="00D30D5F" w:rsidP="002A4360">
      <w:pPr>
        <w:pStyle w:val="NormalWeb"/>
        <w:spacing w:before="0" w:beforeAutospacing="0" w:after="0" w:afterAutospacing="0"/>
        <w:rPr>
          <w:b/>
          <w:bCs/>
        </w:rPr>
      </w:pPr>
      <w:r>
        <w:br/>
        <w:t>Les résumés (</w:t>
      </w:r>
      <w:r w:rsidR="00AC6299">
        <w:t>5</w:t>
      </w:r>
      <w:r>
        <w:t>00 mots</w:t>
      </w:r>
      <w:r w:rsidR="00AC6299">
        <w:t xml:space="preserve"> maximum</w:t>
      </w:r>
      <w:r>
        <w:t xml:space="preserve">) en français ou en anglais, accompagnés d’un bref CV (une page maximum) sont à envoyer </w:t>
      </w:r>
      <w:r w:rsidR="002A4360">
        <w:t xml:space="preserve">à l’attention de Virginie Chaillou-Atrous </w:t>
      </w:r>
      <w:r>
        <w:t xml:space="preserve">à l’adresse suivante : </w:t>
      </w:r>
      <w:hyperlink r:id="rId13" w:history="1">
        <w:r w:rsidR="002A4360" w:rsidRPr="00FA17FA">
          <w:rPr>
            <w:rStyle w:val="Lienhypertexte"/>
          </w:rPr>
          <w:t>labexehne4@univ-nantes.fr</w:t>
        </w:r>
      </w:hyperlink>
      <w:r>
        <w:t xml:space="preserve">  </w:t>
      </w:r>
      <w:r w:rsidRPr="002A4360">
        <w:rPr>
          <w:rStyle w:val="lev"/>
          <w:u w:val="single"/>
        </w:rPr>
        <w:t xml:space="preserve">au plus tard le </w:t>
      </w:r>
      <w:r w:rsidR="00731D83" w:rsidRPr="002A4360">
        <w:rPr>
          <w:rStyle w:val="lev"/>
          <w:u w:val="single"/>
        </w:rPr>
        <w:t>15 avril</w:t>
      </w:r>
      <w:r w:rsidRPr="002A4360">
        <w:rPr>
          <w:rStyle w:val="lev"/>
          <w:u w:val="single"/>
        </w:rPr>
        <w:t xml:space="preserve"> 201</w:t>
      </w:r>
      <w:r w:rsidR="00AC6299" w:rsidRPr="002A4360">
        <w:rPr>
          <w:rStyle w:val="lev"/>
          <w:u w:val="single"/>
        </w:rPr>
        <w:t>6</w:t>
      </w:r>
      <w:r>
        <w:rPr>
          <w:rStyle w:val="lev"/>
        </w:rPr>
        <w:t>.</w:t>
      </w:r>
    </w:p>
    <w:p w:rsidR="00D30D5F" w:rsidRDefault="00D30D5F" w:rsidP="00D30D5F">
      <w:pPr>
        <w:pStyle w:val="NormalWeb"/>
      </w:pPr>
      <w:r>
        <w:t>-</w:t>
      </w:r>
      <w:r w:rsidRPr="00D30D5F">
        <w:rPr>
          <w:rStyle w:val="lev"/>
        </w:rPr>
        <w:t xml:space="preserve"> </w:t>
      </w:r>
      <w:r>
        <w:rPr>
          <w:rStyle w:val="lev"/>
        </w:rPr>
        <w:t xml:space="preserve">Comité </w:t>
      </w:r>
      <w:r w:rsidR="00784EF9">
        <w:rPr>
          <w:rStyle w:val="lev"/>
        </w:rPr>
        <w:t>scientifique</w:t>
      </w:r>
    </w:p>
    <w:p w:rsidR="002A4360" w:rsidRDefault="002A4360" w:rsidP="00F604FC">
      <w:pPr>
        <w:pStyle w:val="NormalWeb"/>
        <w:spacing w:before="0" w:beforeAutospacing="0" w:after="0" w:afterAutospacing="0"/>
      </w:pPr>
      <w:r>
        <w:t>-Virginie Chaillou</w:t>
      </w:r>
      <w:r w:rsidR="002F0BE7">
        <w:t>-Atrous</w:t>
      </w:r>
      <w:r>
        <w:t xml:space="preserve"> (CRHIA</w:t>
      </w:r>
      <w:r w:rsidR="009D64CA">
        <w:t xml:space="preserve"> </w:t>
      </w:r>
      <w:r w:rsidR="005B5F39">
        <w:t>/</w:t>
      </w:r>
      <w:r w:rsidR="009D64CA">
        <w:t xml:space="preserve"> </w:t>
      </w:r>
      <w:r w:rsidR="005B5F39">
        <w:t>LabEx EHNE</w:t>
      </w:r>
      <w:r w:rsidR="009D64CA">
        <w:t xml:space="preserve"> </w:t>
      </w:r>
      <w:r w:rsidR="005B5F39">
        <w:t>/ Université de Nantes</w:t>
      </w:r>
      <w:r>
        <w:t>)</w:t>
      </w:r>
      <w:r>
        <w:br/>
        <w:t>-Céline Flory (CNRS</w:t>
      </w:r>
      <w:r w:rsidR="009D64CA">
        <w:t xml:space="preserve"> </w:t>
      </w:r>
      <w:r>
        <w:t>/</w:t>
      </w:r>
      <w:r w:rsidR="009D64CA">
        <w:t xml:space="preserve"> </w:t>
      </w:r>
      <w:r>
        <w:t>Mondes Américains</w:t>
      </w:r>
      <w:r w:rsidR="009D64CA">
        <w:t xml:space="preserve"> </w:t>
      </w:r>
      <w:r>
        <w:t>/</w:t>
      </w:r>
      <w:r w:rsidR="009D64CA">
        <w:t xml:space="preserve"> </w:t>
      </w:r>
      <w:r>
        <w:t>CERMA</w:t>
      </w:r>
      <w:r w:rsidR="009D64CA">
        <w:t xml:space="preserve"> </w:t>
      </w:r>
      <w:r>
        <w:t>/</w:t>
      </w:r>
      <w:r w:rsidR="009D64CA">
        <w:t xml:space="preserve"> </w:t>
      </w:r>
      <w:r>
        <w:t>CIRESC)</w:t>
      </w:r>
      <w:r>
        <w:br/>
        <w:t>-Hubert Gerbeau (</w:t>
      </w:r>
      <w:r w:rsidR="009D64CA">
        <w:t xml:space="preserve">Aix-Marseille </w:t>
      </w:r>
      <w:r>
        <w:t>Université)</w:t>
      </w:r>
    </w:p>
    <w:p w:rsidR="002A4360" w:rsidRDefault="002A4360" w:rsidP="00F604FC">
      <w:pPr>
        <w:pStyle w:val="NormalWeb"/>
        <w:spacing w:before="0" w:beforeAutospacing="0" w:after="0" w:afterAutospacing="0"/>
      </w:pPr>
      <w:r>
        <w:t>-Antonio de Almeida Mendes (CRHIA</w:t>
      </w:r>
      <w:r w:rsidR="009D64CA">
        <w:t xml:space="preserve"> </w:t>
      </w:r>
      <w:r>
        <w:t>/</w:t>
      </w:r>
      <w:r w:rsidR="009D64CA">
        <w:t xml:space="preserve"> </w:t>
      </w:r>
      <w:r>
        <w:t>CIRESC</w:t>
      </w:r>
      <w:r w:rsidR="009D64CA">
        <w:t xml:space="preserve"> </w:t>
      </w:r>
      <w:r>
        <w:t>/ Université de Nantes)</w:t>
      </w:r>
      <w:r w:rsidRPr="00D30D5F">
        <w:t xml:space="preserve"> </w:t>
      </w:r>
    </w:p>
    <w:p w:rsidR="002A4360" w:rsidRDefault="002A4360" w:rsidP="00F604FC">
      <w:pPr>
        <w:pStyle w:val="NormalWeb"/>
        <w:spacing w:before="0" w:beforeAutospacing="0" w:after="0" w:afterAutospacing="0"/>
      </w:pPr>
      <w:r>
        <w:t xml:space="preserve">-Bernard Michon (CRHIA </w:t>
      </w:r>
      <w:r w:rsidR="009D64CA">
        <w:t xml:space="preserve">/ </w:t>
      </w:r>
      <w:r>
        <w:t>Université de Nantes)</w:t>
      </w:r>
    </w:p>
    <w:p w:rsidR="002A4360" w:rsidRDefault="002A4360" w:rsidP="00F604FC">
      <w:pPr>
        <w:pStyle w:val="NormalWeb"/>
        <w:spacing w:before="0" w:beforeAutospacing="0" w:after="0" w:afterAutospacing="0"/>
      </w:pPr>
      <w:r>
        <w:t xml:space="preserve">-Jacques Weber (CRHIA </w:t>
      </w:r>
      <w:r w:rsidR="009D64CA">
        <w:t>/</w:t>
      </w:r>
      <w:r>
        <w:t xml:space="preserve"> Université de Nantes)</w:t>
      </w:r>
    </w:p>
    <w:p w:rsidR="002A4360" w:rsidRDefault="002A4360" w:rsidP="00731D83">
      <w:pPr>
        <w:pStyle w:val="NormalWeb"/>
        <w:spacing w:before="0" w:beforeAutospacing="0" w:after="0" w:afterAutospacing="0"/>
      </w:pPr>
      <w:r>
        <w:t>-Michèle Marimoutou (CRHIA</w:t>
      </w:r>
      <w:r w:rsidR="009D64CA">
        <w:t xml:space="preserve"> </w:t>
      </w:r>
      <w:r>
        <w:t>/ Université de Nantes)</w:t>
      </w:r>
    </w:p>
    <w:p w:rsidR="002A4360" w:rsidRDefault="002A4360" w:rsidP="00F604FC">
      <w:pPr>
        <w:pStyle w:val="NormalWeb"/>
        <w:spacing w:before="0" w:beforeAutospacing="0" w:after="0" w:afterAutospacing="0"/>
      </w:pPr>
      <w:r>
        <w:t>-Myriam Cottias</w:t>
      </w:r>
      <w:r w:rsidR="009D64CA">
        <w:t xml:space="preserve"> </w:t>
      </w:r>
      <w:r>
        <w:t>(CNRS)</w:t>
      </w:r>
    </w:p>
    <w:p w:rsidR="002A4360" w:rsidRDefault="002A4360" w:rsidP="002A4360">
      <w:pPr>
        <w:pStyle w:val="NormalWeb"/>
        <w:spacing w:before="0" w:beforeAutospacing="0" w:after="0" w:afterAutospacing="0"/>
      </w:pPr>
      <w:r>
        <w:t>-Pieter Emmer (Université de Leyde)</w:t>
      </w:r>
      <w:r w:rsidRPr="002A4360">
        <w:t xml:space="preserve"> </w:t>
      </w:r>
    </w:p>
    <w:p w:rsidR="002A4360" w:rsidRDefault="002A4360" w:rsidP="00F604FC">
      <w:pPr>
        <w:pStyle w:val="NormalWeb"/>
        <w:spacing w:before="0" w:beforeAutospacing="0" w:after="0" w:afterAutospacing="0"/>
      </w:pPr>
      <w:r>
        <w:t>-Singaravélou (Université Bordeaux Montaigne)</w:t>
      </w:r>
    </w:p>
    <w:p w:rsidR="002A4360" w:rsidRDefault="002A4360" w:rsidP="00F604FC">
      <w:pPr>
        <w:pStyle w:val="NormalWeb"/>
        <w:spacing w:before="0" w:beforeAutospacing="0" w:after="0" w:afterAutospacing="0"/>
      </w:pPr>
      <w:r>
        <w:t>-Satyendra Peerthum (Aapravasi Ghat</w:t>
      </w:r>
      <w:r w:rsidR="009D64CA">
        <w:t xml:space="preserve"> / </w:t>
      </w:r>
      <w:r>
        <w:t>Université de Maurice)</w:t>
      </w:r>
    </w:p>
    <w:p w:rsidR="002A4360" w:rsidRDefault="002A4360" w:rsidP="00F604FC">
      <w:pPr>
        <w:pStyle w:val="NormalWeb"/>
        <w:spacing w:before="0" w:beforeAutospacing="0" w:after="0" w:afterAutospacing="0"/>
      </w:pPr>
    </w:p>
    <w:p w:rsidR="005B5F39" w:rsidRDefault="00852A8D" w:rsidP="002A4360">
      <w:pPr>
        <w:pStyle w:val="NormalWeb"/>
        <w:spacing w:before="0" w:beforeAutospacing="0" w:after="0" w:afterAutospacing="0"/>
        <w:rPr>
          <w:rStyle w:val="lev"/>
        </w:rPr>
      </w:pPr>
      <w:r>
        <w:rPr>
          <w:rStyle w:val="lev"/>
        </w:rPr>
        <w:t>-Organisation :</w:t>
      </w:r>
    </w:p>
    <w:p w:rsidR="00731D83" w:rsidRPr="002A4360" w:rsidRDefault="00852A8D" w:rsidP="002A4360">
      <w:pPr>
        <w:pStyle w:val="NormalWeb"/>
        <w:spacing w:before="0" w:beforeAutospacing="0" w:after="0" w:afterAutospacing="0"/>
      </w:pPr>
      <w:r>
        <w:br/>
        <w:t xml:space="preserve"> -Virginie Chaillou-Atrous (CRHIA</w:t>
      </w:r>
      <w:r w:rsidR="009D64CA">
        <w:t xml:space="preserve"> </w:t>
      </w:r>
      <w:r>
        <w:t xml:space="preserve">/ </w:t>
      </w:r>
      <w:r w:rsidR="005B5F39">
        <w:t>Labex EHNE</w:t>
      </w:r>
      <w:r w:rsidR="009D64CA">
        <w:t xml:space="preserve"> </w:t>
      </w:r>
      <w:r w:rsidR="005B5F39">
        <w:t xml:space="preserve">/ </w:t>
      </w:r>
      <w:r>
        <w:t>Université de Nantes)</w:t>
      </w:r>
    </w:p>
    <w:p w:rsidR="00731D83" w:rsidRPr="002A4360" w:rsidRDefault="00852A8D" w:rsidP="002A4360">
      <w:pPr>
        <w:pStyle w:val="NormalWeb"/>
        <w:spacing w:before="0" w:beforeAutospacing="0" w:after="0" w:afterAutospacing="0"/>
      </w:pPr>
      <w:r>
        <w:t>- Aurélie Cloarec (</w:t>
      </w:r>
      <w:r w:rsidR="009D64CA">
        <w:t>Gestionnaire /</w:t>
      </w:r>
      <w:r>
        <w:t xml:space="preserve"> CRHIA)</w:t>
      </w:r>
    </w:p>
    <w:p w:rsidR="00852A8D" w:rsidRPr="002A4360" w:rsidRDefault="00852A8D" w:rsidP="002A4360">
      <w:pPr>
        <w:pStyle w:val="NormalWeb"/>
        <w:spacing w:before="0" w:beforeAutospacing="0" w:after="0" w:afterAutospacing="0"/>
      </w:pPr>
      <w:r>
        <w:t>- Thomas Burel (Ingénieur valorisation</w:t>
      </w:r>
      <w:r w:rsidR="009D64CA">
        <w:t xml:space="preserve"> /</w:t>
      </w:r>
      <w:r>
        <w:t xml:space="preserve"> CRHIA)</w:t>
      </w:r>
    </w:p>
    <w:p w:rsidR="00852A8D" w:rsidRDefault="00852A8D" w:rsidP="002A4360">
      <w:pPr>
        <w:pStyle w:val="NormalWeb"/>
        <w:spacing w:before="0" w:beforeAutospacing="0" w:after="0" w:afterAutospacing="0"/>
      </w:pPr>
      <w:r>
        <w:t>- Aanor Le Mouël (Ingénieur</w:t>
      </w:r>
      <w:r w:rsidR="009D64CA">
        <w:t>e</w:t>
      </w:r>
      <w:r>
        <w:t xml:space="preserve"> projet STARACO</w:t>
      </w:r>
      <w:r w:rsidR="009D64CA">
        <w:t xml:space="preserve"> </w:t>
      </w:r>
      <w:r>
        <w:t>/ CRHIA</w:t>
      </w:r>
      <w:r w:rsidR="009D64CA">
        <w:t xml:space="preserve"> </w:t>
      </w:r>
      <w:r>
        <w:t xml:space="preserve">/ Université de Nantes) </w:t>
      </w:r>
    </w:p>
    <w:p w:rsidR="00C11688" w:rsidRDefault="00C11688" w:rsidP="002A4360">
      <w:pPr>
        <w:pStyle w:val="NormalWeb"/>
        <w:spacing w:before="0" w:beforeAutospacing="0" w:after="0" w:afterAutospacing="0"/>
        <w:outlineLvl w:val="0"/>
      </w:pPr>
    </w:p>
    <w:sectPr w:rsidR="00C11688" w:rsidSect="002A12C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A9" w:rsidRDefault="00E76EA9" w:rsidP="00D30D5F">
      <w:pPr>
        <w:spacing w:after="0" w:line="240" w:lineRule="auto"/>
      </w:pPr>
      <w:r>
        <w:separator/>
      </w:r>
    </w:p>
  </w:endnote>
  <w:endnote w:type="continuationSeparator" w:id="0">
    <w:p w:rsidR="00E76EA9" w:rsidRDefault="00E76EA9" w:rsidP="00D3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73731"/>
      <w:docPartObj>
        <w:docPartGallery w:val="Page Numbers (Bottom of Page)"/>
        <w:docPartUnique/>
      </w:docPartObj>
    </w:sdtPr>
    <w:sdtEndPr/>
    <w:sdtContent>
      <w:p w:rsidR="00A62C37" w:rsidRDefault="00CF24DC">
        <w:pPr>
          <w:pStyle w:val="Pieddepage"/>
          <w:jc w:val="center"/>
        </w:pPr>
        <w:r>
          <w:fldChar w:fldCharType="begin"/>
        </w:r>
        <w:r>
          <w:instrText>PAGE   \* MERGEFORMAT</w:instrText>
        </w:r>
        <w:r>
          <w:fldChar w:fldCharType="separate"/>
        </w:r>
        <w:r w:rsidR="003F1815">
          <w:rPr>
            <w:noProof/>
          </w:rPr>
          <w:t>1</w:t>
        </w:r>
        <w:r>
          <w:rPr>
            <w:noProof/>
          </w:rPr>
          <w:fldChar w:fldCharType="end"/>
        </w:r>
      </w:p>
    </w:sdtContent>
  </w:sdt>
  <w:p w:rsidR="00A62C37" w:rsidRDefault="00A62C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A9" w:rsidRDefault="00E76EA9" w:rsidP="00D30D5F">
      <w:pPr>
        <w:spacing w:after="0" w:line="240" w:lineRule="auto"/>
      </w:pPr>
      <w:r>
        <w:separator/>
      </w:r>
    </w:p>
  </w:footnote>
  <w:footnote w:type="continuationSeparator" w:id="0">
    <w:p w:rsidR="00E76EA9" w:rsidRDefault="00E76EA9" w:rsidP="00D30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452"/>
    <w:multiLevelType w:val="hybridMultilevel"/>
    <w:tmpl w:val="FB1C095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54339A"/>
    <w:multiLevelType w:val="hybridMultilevel"/>
    <w:tmpl w:val="1626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AA"/>
    <w:rsid w:val="0003013C"/>
    <w:rsid w:val="00057030"/>
    <w:rsid w:val="00067E6B"/>
    <w:rsid w:val="000752ED"/>
    <w:rsid w:val="000E2879"/>
    <w:rsid w:val="000F7BF2"/>
    <w:rsid w:val="00111572"/>
    <w:rsid w:val="00127937"/>
    <w:rsid w:val="00136AF0"/>
    <w:rsid w:val="001776E7"/>
    <w:rsid w:val="00182A03"/>
    <w:rsid w:val="001877D5"/>
    <w:rsid w:val="001A20F8"/>
    <w:rsid w:val="001C4F17"/>
    <w:rsid w:val="00212C1B"/>
    <w:rsid w:val="00215809"/>
    <w:rsid w:val="00241C14"/>
    <w:rsid w:val="00253A52"/>
    <w:rsid w:val="00263D9F"/>
    <w:rsid w:val="002A12CF"/>
    <w:rsid w:val="002A12D0"/>
    <w:rsid w:val="002A4360"/>
    <w:rsid w:val="002F0BE7"/>
    <w:rsid w:val="002F5D9D"/>
    <w:rsid w:val="003070AD"/>
    <w:rsid w:val="003409F1"/>
    <w:rsid w:val="003C0846"/>
    <w:rsid w:val="003F09A8"/>
    <w:rsid w:val="003F1815"/>
    <w:rsid w:val="004006F4"/>
    <w:rsid w:val="00452B1F"/>
    <w:rsid w:val="004E0245"/>
    <w:rsid w:val="004F2C50"/>
    <w:rsid w:val="00502E78"/>
    <w:rsid w:val="005218DB"/>
    <w:rsid w:val="005525DB"/>
    <w:rsid w:val="005737F1"/>
    <w:rsid w:val="005B5F39"/>
    <w:rsid w:val="005E50C8"/>
    <w:rsid w:val="00627EC4"/>
    <w:rsid w:val="00650F00"/>
    <w:rsid w:val="00657B44"/>
    <w:rsid w:val="006A0184"/>
    <w:rsid w:val="006A22AA"/>
    <w:rsid w:val="00711681"/>
    <w:rsid w:val="00731D83"/>
    <w:rsid w:val="007324EE"/>
    <w:rsid w:val="007349D3"/>
    <w:rsid w:val="007438D4"/>
    <w:rsid w:val="00784EF9"/>
    <w:rsid w:val="007A2FE7"/>
    <w:rsid w:val="007A7D94"/>
    <w:rsid w:val="00840771"/>
    <w:rsid w:val="00852A8D"/>
    <w:rsid w:val="008770A2"/>
    <w:rsid w:val="0089733A"/>
    <w:rsid w:val="008D5BB8"/>
    <w:rsid w:val="008E1CBF"/>
    <w:rsid w:val="00901114"/>
    <w:rsid w:val="009231A2"/>
    <w:rsid w:val="0093756E"/>
    <w:rsid w:val="00960B25"/>
    <w:rsid w:val="00972994"/>
    <w:rsid w:val="009761FD"/>
    <w:rsid w:val="009853A1"/>
    <w:rsid w:val="009915C2"/>
    <w:rsid w:val="009D64CA"/>
    <w:rsid w:val="009F1BD0"/>
    <w:rsid w:val="009F5AE8"/>
    <w:rsid w:val="00A00550"/>
    <w:rsid w:val="00A05CE2"/>
    <w:rsid w:val="00A62C37"/>
    <w:rsid w:val="00A67DA8"/>
    <w:rsid w:val="00AC6299"/>
    <w:rsid w:val="00B45F82"/>
    <w:rsid w:val="00B8262B"/>
    <w:rsid w:val="00BA7037"/>
    <w:rsid w:val="00BD585D"/>
    <w:rsid w:val="00BE0882"/>
    <w:rsid w:val="00BE22EE"/>
    <w:rsid w:val="00C11688"/>
    <w:rsid w:val="00C24AD2"/>
    <w:rsid w:val="00CB7B27"/>
    <w:rsid w:val="00CC08AA"/>
    <w:rsid w:val="00CC6ED3"/>
    <w:rsid w:val="00CF24DC"/>
    <w:rsid w:val="00D30D5F"/>
    <w:rsid w:val="00D810FC"/>
    <w:rsid w:val="00DB1467"/>
    <w:rsid w:val="00DB23AF"/>
    <w:rsid w:val="00E0406A"/>
    <w:rsid w:val="00E51C01"/>
    <w:rsid w:val="00E6223A"/>
    <w:rsid w:val="00E63727"/>
    <w:rsid w:val="00E76EA9"/>
    <w:rsid w:val="00EA64CC"/>
    <w:rsid w:val="00F22D2C"/>
    <w:rsid w:val="00F51B5C"/>
    <w:rsid w:val="00F604FC"/>
    <w:rsid w:val="00F977A5"/>
    <w:rsid w:val="00FA6DB8"/>
    <w:rsid w:val="00FB3861"/>
    <w:rsid w:val="00FC69E9"/>
    <w:rsid w:val="00FD3FF1"/>
    <w:rsid w:val="00FD4E9D"/>
    <w:rsid w:val="00FE5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0D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0D5F"/>
    <w:rPr>
      <w:b/>
      <w:bCs/>
    </w:rPr>
  </w:style>
  <w:style w:type="character" w:styleId="Accentuation">
    <w:name w:val="Emphasis"/>
    <w:basedOn w:val="Policepardfaut"/>
    <w:uiPriority w:val="20"/>
    <w:qFormat/>
    <w:rsid w:val="00D30D5F"/>
    <w:rPr>
      <w:i/>
      <w:iCs/>
    </w:rPr>
  </w:style>
  <w:style w:type="character" w:styleId="Lienhypertexte">
    <w:name w:val="Hyperlink"/>
    <w:basedOn w:val="Policepardfaut"/>
    <w:uiPriority w:val="99"/>
    <w:unhideWhenUsed/>
    <w:rsid w:val="00D30D5F"/>
    <w:rPr>
      <w:color w:val="0000FF" w:themeColor="hyperlink"/>
      <w:u w:val="single"/>
    </w:rPr>
  </w:style>
  <w:style w:type="paragraph" w:styleId="En-tte">
    <w:name w:val="header"/>
    <w:basedOn w:val="Normal"/>
    <w:link w:val="En-tteCar"/>
    <w:uiPriority w:val="99"/>
    <w:unhideWhenUsed/>
    <w:rsid w:val="00D30D5F"/>
    <w:pPr>
      <w:tabs>
        <w:tab w:val="center" w:pos="4536"/>
        <w:tab w:val="right" w:pos="9072"/>
      </w:tabs>
      <w:spacing w:after="0" w:line="240" w:lineRule="auto"/>
    </w:pPr>
  </w:style>
  <w:style w:type="character" w:customStyle="1" w:styleId="En-tteCar">
    <w:name w:val="En-tête Car"/>
    <w:basedOn w:val="Policepardfaut"/>
    <w:link w:val="En-tte"/>
    <w:uiPriority w:val="99"/>
    <w:rsid w:val="00D30D5F"/>
  </w:style>
  <w:style w:type="paragraph" w:styleId="Pieddepage">
    <w:name w:val="footer"/>
    <w:basedOn w:val="Normal"/>
    <w:link w:val="PieddepageCar"/>
    <w:uiPriority w:val="99"/>
    <w:unhideWhenUsed/>
    <w:rsid w:val="00D30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D5F"/>
  </w:style>
  <w:style w:type="paragraph" w:styleId="Textedebulles">
    <w:name w:val="Balloon Text"/>
    <w:basedOn w:val="Normal"/>
    <w:link w:val="TextedebullesCar"/>
    <w:uiPriority w:val="99"/>
    <w:semiHidden/>
    <w:unhideWhenUsed/>
    <w:rsid w:val="002A43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0D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0D5F"/>
    <w:rPr>
      <w:b/>
      <w:bCs/>
    </w:rPr>
  </w:style>
  <w:style w:type="character" w:styleId="Accentuation">
    <w:name w:val="Emphasis"/>
    <w:basedOn w:val="Policepardfaut"/>
    <w:uiPriority w:val="20"/>
    <w:qFormat/>
    <w:rsid w:val="00D30D5F"/>
    <w:rPr>
      <w:i/>
      <w:iCs/>
    </w:rPr>
  </w:style>
  <w:style w:type="character" w:styleId="Lienhypertexte">
    <w:name w:val="Hyperlink"/>
    <w:basedOn w:val="Policepardfaut"/>
    <w:uiPriority w:val="99"/>
    <w:unhideWhenUsed/>
    <w:rsid w:val="00D30D5F"/>
    <w:rPr>
      <w:color w:val="0000FF" w:themeColor="hyperlink"/>
      <w:u w:val="single"/>
    </w:rPr>
  </w:style>
  <w:style w:type="paragraph" w:styleId="En-tte">
    <w:name w:val="header"/>
    <w:basedOn w:val="Normal"/>
    <w:link w:val="En-tteCar"/>
    <w:uiPriority w:val="99"/>
    <w:unhideWhenUsed/>
    <w:rsid w:val="00D30D5F"/>
    <w:pPr>
      <w:tabs>
        <w:tab w:val="center" w:pos="4536"/>
        <w:tab w:val="right" w:pos="9072"/>
      </w:tabs>
      <w:spacing w:after="0" w:line="240" w:lineRule="auto"/>
    </w:pPr>
  </w:style>
  <w:style w:type="character" w:customStyle="1" w:styleId="En-tteCar">
    <w:name w:val="En-tête Car"/>
    <w:basedOn w:val="Policepardfaut"/>
    <w:link w:val="En-tte"/>
    <w:uiPriority w:val="99"/>
    <w:rsid w:val="00D30D5F"/>
  </w:style>
  <w:style w:type="paragraph" w:styleId="Pieddepage">
    <w:name w:val="footer"/>
    <w:basedOn w:val="Normal"/>
    <w:link w:val="PieddepageCar"/>
    <w:uiPriority w:val="99"/>
    <w:unhideWhenUsed/>
    <w:rsid w:val="00D30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D5F"/>
  </w:style>
  <w:style w:type="paragraph" w:styleId="Textedebulles">
    <w:name w:val="Balloon Text"/>
    <w:basedOn w:val="Normal"/>
    <w:link w:val="TextedebullesCar"/>
    <w:uiPriority w:val="99"/>
    <w:semiHidden/>
    <w:unhideWhenUsed/>
    <w:rsid w:val="002A43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2249">
      <w:bodyDiv w:val="1"/>
      <w:marLeft w:val="0"/>
      <w:marRight w:val="0"/>
      <w:marTop w:val="0"/>
      <w:marBottom w:val="0"/>
      <w:divBdr>
        <w:top w:val="none" w:sz="0" w:space="0" w:color="auto"/>
        <w:left w:val="none" w:sz="0" w:space="0" w:color="auto"/>
        <w:bottom w:val="none" w:sz="0" w:space="0" w:color="auto"/>
        <w:right w:val="none" w:sz="0" w:space="0" w:color="auto"/>
      </w:divBdr>
      <w:divsChild>
        <w:div w:id="40071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bexehne4@univ-nante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1304</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Chaillou-V</dc:creator>
  <cp:lastModifiedBy>Aanor</cp:lastModifiedBy>
  <cp:revision>2</cp:revision>
  <cp:lastPrinted>2016-02-08T15:26:00Z</cp:lastPrinted>
  <dcterms:created xsi:type="dcterms:W3CDTF">2016-02-15T15:08:00Z</dcterms:created>
  <dcterms:modified xsi:type="dcterms:W3CDTF">2016-02-15T15:08:00Z</dcterms:modified>
</cp:coreProperties>
</file>